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9D8AD" w14:textId="6A156C34" w:rsidR="004B1B61" w:rsidRDefault="00D9613D" w:rsidP="00E0317B">
      <w:pPr>
        <w:rPr>
          <w:rFonts w:ascii="Arial" w:hAnsi="Arial" w:cs="Arial"/>
          <w:sz w:val="22"/>
        </w:rPr>
      </w:pPr>
      <w:r w:rsidRPr="00C37EC5">
        <w:rPr>
          <w:rFonts w:ascii="Arial" w:hAnsi="Arial" w:cs="Arial"/>
          <w:noProof/>
        </w:rPr>
        <w:drawing>
          <wp:anchor distT="0" distB="0" distL="114300" distR="114300" simplePos="0" relativeHeight="251659264" behindDoc="1" locked="0" layoutInCell="1" allowOverlap="1" wp14:anchorId="2E89D8D8" wp14:editId="1AF57398">
            <wp:simplePos x="0" y="0"/>
            <wp:positionH relativeFrom="column">
              <wp:posOffset>2799715</wp:posOffset>
            </wp:positionH>
            <wp:positionV relativeFrom="paragraph">
              <wp:posOffset>-133350</wp:posOffset>
            </wp:positionV>
            <wp:extent cx="1752600" cy="363855"/>
            <wp:effectExtent l="0" t="0" r="0" b="0"/>
            <wp:wrapTight wrapText="bothSides">
              <wp:wrapPolygon edited="0">
                <wp:start x="704" y="0"/>
                <wp:lineTo x="0" y="3393"/>
                <wp:lineTo x="0" y="15832"/>
                <wp:lineTo x="470" y="20356"/>
                <wp:lineTo x="704" y="20356"/>
                <wp:lineTo x="3522" y="20356"/>
                <wp:lineTo x="21365" y="14702"/>
                <wp:lineTo x="21365" y="5654"/>
                <wp:lineTo x="3522" y="0"/>
                <wp:lineTo x="7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F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363855"/>
                    </a:xfrm>
                    <a:prstGeom prst="rect">
                      <a:avLst/>
                    </a:prstGeom>
                  </pic:spPr>
                </pic:pic>
              </a:graphicData>
            </a:graphic>
            <wp14:sizeRelH relativeFrom="page">
              <wp14:pctWidth>0</wp14:pctWidth>
            </wp14:sizeRelH>
            <wp14:sizeRelV relativeFrom="page">
              <wp14:pctHeight>0</wp14:pctHeight>
            </wp14:sizeRelV>
          </wp:anchor>
        </w:drawing>
      </w:r>
      <w:r w:rsidR="00DC4F5C">
        <w:rPr>
          <w:rFonts w:ascii="Arial" w:hAnsi="Arial" w:cs="Arial"/>
          <w:noProof/>
          <w:color w:val="00A1DA"/>
          <w:sz w:val="32"/>
        </w:rPr>
        <w:drawing>
          <wp:anchor distT="0" distB="0" distL="114300" distR="114300" simplePos="0" relativeHeight="251665408" behindDoc="1" locked="0" layoutInCell="1" allowOverlap="1" wp14:anchorId="2E89D8DA" wp14:editId="2E89D8DB">
            <wp:simplePos x="0" y="0"/>
            <wp:positionH relativeFrom="column">
              <wp:posOffset>4714875</wp:posOffset>
            </wp:positionH>
            <wp:positionV relativeFrom="paragraph">
              <wp:posOffset>-171450</wp:posOffset>
            </wp:positionV>
            <wp:extent cx="1258570" cy="401955"/>
            <wp:effectExtent l="0" t="0" r="0" b="0"/>
            <wp:wrapTight wrapText="bothSides">
              <wp:wrapPolygon edited="0">
                <wp:start x="1962" y="0"/>
                <wp:lineTo x="0" y="6142"/>
                <wp:lineTo x="0" y="13308"/>
                <wp:lineTo x="1308" y="20474"/>
                <wp:lineTo x="1635" y="20474"/>
                <wp:lineTo x="21251" y="20474"/>
                <wp:lineTo x="21251" y="12284"/>
                <wp:lineTo x="19943" y="2047"/>
                <wp:lineTo x="15039" y="0"/>
                <wp:lineTo x="196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8570" cy="401955"/>
                    </a:xfrm>
                    <a:prstGeom prst="rect">
                      <a:avLst/>
                    </a:prstGeom>
                  </pic:spPr>
                </pic:pic>
              </a:graphicData>
            </a:graphic>
            <wp14:sizeRelH relativeFrom="page">
              <wp14:pctWidth>0</wp14:pctWidth>
            </wp14:sizeRelH>
            <wp14:sizeRelV relativeFrom="page">
              <wp14:pctHeight>0</wp14:pctHeight>
            </wp14:sizeRelV>
          </wp:anchor>
        </w:drawing>
      </w:r>
      <w:r w:rsidR="00E0317B">
        <w:rPr>
          <w:rFonts w:ascii="Arial" w:hAnsi="Arial" w:cs="Arial"/>
          <w:color w:val="00A1DA"/>
          <w:sz w:val="32"/>
        </w:rPr>
        <w:t>News Release</w:t>
      </w:r>
      <w:r w:rsidR="00E0317B" w:rsidRPr="00C37EC5">
        <w:rPr>
          <w:rFonts w:ascii="Arial" w:hAnsi="Arial" w:cs="Arial"/>
          <w:color w:val="00B0F0"/>
          <w:sz w:val="32"/>
        </w:rPr>
        <w:tab/>
      </w:r>
      <w:r w:rsidR="00E0317B" w:rsidRPr="00C37EC5">
        <w:rPr>
          <w:rFonts w:ascii="Arial" w:hAnsi="Arial" w:cs="Arial"/>
          <w:sz w:val="22"/>
        </w:rPr>
        <w:tab/>
      </w:r>
      <w:r w:rsidR="001F2B8E">
        <w:rPr>
          <w:rFonts w:ascii="Arial" w:hAnsi="Arial" w:cs="Arial"/>
          <w:noProof/>
          <w:sz w:val="22"/>
        </w:rPr>
        <w:drawing>
          <wp:inline distT="0" distB="0" distL="0" distR="0" wp14:anchorId="52E4F0D7" wp14:editId="4B835A04">
            <wp:extent cx="844550" cy="27982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PDWM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4259" cy="296291"/>
                    </a:xfrm>
                    <a:prstGeom prst="rect">
                      <a:avLst/>
                    </a:prstGeom>
                  </pic:spPr>
                </pic:pic>
              </a:graphicData>
            </a:graphic>
          </wp:inline>
        </w:drawing>
      </w:r>
    </w:p>
    <w:p w14:paraId="2E89D8AE" w14:textId="77777777" w:rsidR="00E0317B" w:rsidRPr="00C37EC5" w:rsidRDefault="00E0317B" w:rsidP="00E0317B">
      <w:pPr>
        <w:rPr>
          <w:rFonts w:ascii="Arial" w:hAnsi="Arial" w:cs="Arial"/>
          <w:sz w:val="22"/>
        </w:rPr>
      </w:pPr>
      <w:r w:rsidRPr="00C37EC5">
        <w:rPr>
          <w:rFonts w:ascii="Arial" w:hAnsi="Arial" w:cs="Arial"/>
          <w:noProof/>
          <w:sz w:val="22"/>
        </w:rPr>
        <w:t xml:space="preserve">  </w:t>
      </w:r>
    </w:p>
    <w:p w14:paraId="2E89D8AF" w14:textId="77777777" w:rsidR="00E0317B" w:rsidRDefault="00E0317B" w:rsidP="00E0317B">
      <w:pPr>
        <w:rPr>
          <w:rFonts w:ascii="Arial" w:hAnsi="Arial" w:cs="Arial"/>
          <w:b/>
          <w:sz w:val="22"/>
        </w:rPr>
      </w:pPr>
    </w:p>
    <w:p w14:paraId="2E89D8B0" w14:textId="3B05425B" w:rsidR="00E0317B" w:rsidRDefault="00C54A4A" w:rsidP="00E0317B">
      <w:pPr>
        <w:rPr>
          <w:rFonts w:ascii="Arial" w:hAnsi="Arial" w:cs="Arial"/>
          <w:b/>
          <w:sz w:val="22"/>
        </w:rPr>
      </w:pPr>
      <w:r>
        <w:rPr>
          <w:rFonts w:ascii="Arial" w:hAnsi="Arial" w:cs="Arial"/>
          <w:b/>
          <w:sz w:val="22"/>
        </w:rPr>
        <w:t>C</w:t>
      </w:r>
      <w:r w:rsidR="00E0317B">
        <w:rPr>
          <w:rFonts w:ascii="Arial" w:hAnsi="Arial" w:cs="Arial"/>
          <w:b/>
          <w:sz w:val="22"/>
        </w:rPr>
        <w:t xml:space="preserve">ontact: </w:t>
      </w:r>
      <w:r w:rsidR="00443260">
        <w:rPr>
          <w:rFonts w:ascii="Arial" w:hAnsi="Arial" w:cs="Arial"/>
          <w:b/>
          <w:sz w:val="22"/>
        </w:rPr>
        <w:t>Warren Miller</w:t>
      </w:r>
      <w:r w:rsidR="00516C2B">
        <w:rPr>
          <w:rFonts w:ascii="Arial" w:hAnsi="Arial" w:cs="Arial"/>
          <w:b/>
          <w:sz w:val="22"/>
        </w:rPr>
        <w:t xml:space="preserve"> </w:t>
      </w:r>
      <w:bookmarkStart w:id="0" w:name="_GoBack"/>
      <w:bookmarkEnd w:id="0"/>
    </w:p>
    <w:p w14:paraId="2E89D8B1" w14:textId="77777777" w:rsidR="00E0317B" w:rsidRPr="00624E1A" w:rsidRDefault="00E0317B" w:rsidP="00E0317B">
      <w:pPr>
        <w:rPr>
          <w:rFonts w:ascii="Arial" w:hAnsi="Arial" w:cs="Arial"/>
          <w:sz w:val="22"/>
        </w:rPr>
      </w:pPr>
      <w:r w:rsidRPr="00624E1A">
        <w:rPr>
          <w:rFonts w:ascii="Arial" w:hAnsi="Arial" w:cs="Arial"/>
          <w:b/>
          <w:sz w:val="22"/>
        </w:rPr>
        <w:tab/>
      </w:r>
      <w:r w:rsidRPr="00624E1A">
        <w:rPr>
          <w:rFonts w:ascii="Arial" w:hAnsi="Arial" w:cs="Arial"/>
          <w:b/>
          <w:sz w:val="22"/>
        </w:rPr>
        <w:tab/>
      </w:r>
      <w:r w:rsidRPr="00624E1A">
        <w:rPr>
          <w:rFonts w:ascii="Arial" w:hAnsi="Arial" w:cs="Arial"/>
          <w:b/>
          <w:sz w:val="22"/>
        </w:rPr>
        <w:tab/>
      </w:r>
    </w:p>
    <w:p w14:paraId="2E89D8B2" w14:textId="6B42C8A0" w:rsidR="00E0317B" w:rsidRDefault="00443260" w:rsidP="00E0317B">
      <w:pPr>
        <w:rPr>
          <w:rFonts w:ascii="Arial" w:hAnsi="Arial" w:cs="Arial"/>
          <w:sz w:val="22"/>
        </w:rPr>
      </w:pPr>
      <w:r>
        <w:rPr>
          <w:rFonts w:ascii="Arial" w:hAnsi="Arial" w:cs="Arial"/>
          <w:sz w:val="22"/>
        </w:rPr>
        <w:t>January 8</w:t>
      </w:r>
      <w:r w:rsidRPr="00443260">
        <w:rPr>
          <w:rFonts w:ascii="Arial" w:hAnsi="Arial" w:cs="Arial"/>
          <w:sz w:val="22"/>
          <w:vertAlign w:val="superscript"/>
        </w:rPr>
        <w:t>th</w:t>
      </w:r>
      <w:r>
        <w:rPr>
          <w:rFonts w:ascii="Arial" w:hAnsi="Arial" w:cs="Arial"/>
          <w:sz w:val="22"/>
        </w:rPr>
        <w:t xml:space="preserve">, </w:t>
      </w:r>
      <w:r w:rsidR="00E0317B" w:rsidRPr="00624E1A">
        <w:rPr>
          <w:rFonts w:ascii="Arial" w:hAnsi="Arial" w:cs="Arial"/>
          <w:sz w:val="22"/>
        </w:rPr>
        <w:t>201</w:t>
      </w:r>
      <w:r w:rsidR="00944211">
        <w:rPr>
          <w:rFonts w:ascii="Arial" w:hAnsi="Arial" w:cs="Arial"/>
          <w:sz w:val="22"/>
        </w:rPr>
        <w:t>9</w:t>
      </w:r>
      <w:r w:rsidR="00E0317B" w:rsidRPr="00624E1A">
        <w:rPr>
          <w:rFonts w:ascii="Arial" w:hAnsi="Arial" w:cs="Arial"/>
          <w:sz w:val="22"/>
        </w:rPr>
        <w:tab/>
      </w:r>
    </w:p>
    <w:p w14:paraId="2E89D8B3" w14:textId="77777777" w:rsidR="00E0317B" w:rsidRPr="000A39A6" w:rsidRDefault="00E0317B" w:rsidP="00E0317B">
      <w:pPr>
        <w:rPr>
          <w:rFonts w:ascii="Arial" w:hAnsi="Arial" w:cs="Arial"/>
        </w:rPr>
      </w:pPr>
    </w:p>
    <w:p w14:paraId="2E89D8B4" w14:textId="77777777" w:rsidR="004B1B61" w:rsidRDefault="004B1B61" w:rsidP="00E0317B">
      <w:pPr>
        <w:rPr>
          <w:rFonts w:ascii="Arial" w:hAnsi="Arial" w:cs="Arial"/>
          <w:b/>
          <w:color w:val="365F91" w:themeColor="accent1" w:themeShade="BF"/>
          <w:sz w:val="28"/>
        </w:rPr>
      </w:pPr>
    </w:p>
    <w:p w14:paraId="2E89D8B5" w14:textId="0503A31E" w:rsidR="0067100F" w:rsidRDefault="00443260" w:rsidP="00E0317B">
      <w:pPr>
        <w:rPr>
          <w:rFonts w:ascii="Arial" w:hAnsi="Arial" w:cs="Arial"/>
          <w:b/>
          <w:color w:val="365F91" w:themeColor="accent1" w:themeShade="BF"/>
          <w:sz w:val="28"/>
        </w:rPr>
      </w:pPr>
      <w:r>
        <w:rPr>
          <w:rFonts w:ascii="Arial" w:hAnsi="Arial" w:cs="Arial"/>
          <w:b/>
          <w:color w:val="365F91" w:themeColor="accent1" w:themeShade="BF"/>
          <w:sz w:val="28"/>
        </w:rPr>
        <w:t>Yadkin-Pee Dee Water Management Group</w:t>
      </w:r>
      <w:r w:rsidR="0067100F">
        <w:rPr>
          <w:rFonts w:ascii="Arial" w:hAnsi="Arial" w:cs="Arial"/>
          <w:b/>
          <w:color w:val="365F91" w:themeColor="accent1" w:themeShade="BF"/>
          <w:sz w:val="28"/>
        </w:rPr>
        <w:t xml:space="preserve"> to benefit </w:t>
      </w:r>
      <w:r>
        <w:rPr>
          <w:rFonts w:ascii="Arial" w:hAnsi="Arial" w:cs="Arial"/>
          <w:b/>
          <w:color w:val="365F91" w:themeColor="accent1" w:themeShade="BF"/>
          <w:sz w:val="28"/>
        </w:rPr>
        <w:t>Yadkin-Pee Dee</w:t>
      </w:r>
      <w:r w:rsidR="004B1B61">
        <w:rPr>
          <w:rFonts w:ascii="Arial" w:hAnsi="Arial" w:cs="Arial"/>
          <w:b/>
          <w:color w:val="365F91" w:themeColor="accent1" w:themeShade="BF"/>
          <w:sz w:val="28"/>
        </w:rPr>
        <w:t xml:space="preserve"> waterways with </w:t>
      </w:r>
      <w:r>
        <w:rPr>
          <w:rFonts w:ascii="Arial" w:hAnsi="Arial" w:cs="Arial"/>
          <w:b/>
          <w:color w:val="365F91" w:themeColor="accent1" w:themeShade="BF"/>
          <w:sz w:val="28"/>
        </w:rPr>
        <w:t xml:space="preserve">$100,000 </w:t>
      </w:r>
      <w:r w:rsidR="0067100F">
        <w:rPr>
          <w:rFonts w:ascii="Arial" w:hAnsi="Arial" w:cs="Arial"/>
          <w:b/>
          <w:color w:val="365F91" w:themeColor="accent1" w:themeShade="BF"/>
          <w:sz w:val="28"/>
        </w:rPr>
        <w:t xml:space="preserve">grant from Duke Energy </w:t>
      </w:r>
    </w:p>
    <w:p w14:paraId="2E89D8B6" w14:textId="77777777" w:rsidR="00E0317B" w:rsidRPr="000A39A6" w:rsidRDefault="00E0317B" w:rsidP="00E0317B">
      <w:pPr>
        <w:rPr>
          <w:rFonts w:ascii="Arial" w:hAnsi="Arial" w:cs="Arial"/>
        </w:rPr>
      </w:pPr>
    </w:p>
    <w:p w14:paraId="2E89D8B7" w14:textId="6808709C" w:rsidR="005A1488" w:rsidRDefault="00443260" w:rsidP="00E0317B">
      <w:pPr>
        <w:rPr>
          <w:rFonts w:ascii="Arial" w:hAnsi="Arial" w:cs="Arial"/>
        </w:rPr>
      </w:pPr>
      <w:r>
        <w:rPr>
          <w:rFonts w:ascii="Arial" w:hAnsi="Arial" w:cs="Arial"/>
        </w:rPr>
        <w:t>Winston-Salem, NC</w:t>
      </w:r>
      <w:r w:rsidR="00E0317B" w:rsidRPr="000A39A6">
        <w:rPr>
          <w:rFonts w:ascii="Arial" w:hAnsi="Arial" w:cs="Arial"/>
        </w:rPr>
        <w:t xml:space="preserve"> – </w:t>
      </w:r>
      <w:r>
        <w:rPr>
          <w:rFonts w:ascii="Arial" w:hAnsi="Arial" w:cs="Arial"/>
        </w:rPr>
        <w:t>Yadkin-Pee Dee Water Management Group</w:t>
      </w:r>
      <w:r w:rsidR="005A1488">
        <w:rPr>
          <w:rFonts w:ascii="Arial" w:hAnsi="Arial" w:cs="Arial"/>
        </w:rPr>
        <w:t xml:space="preserve"> received a </w:t>
      </w:r>
      <w:r>
        <w:rPr>
          <w:rFonts w:ascii="Arial" w:hAnsi="Arial" w:cs="Arial"/>
        </w:rPr>
        <w:t>$100,000</w:t>
      </w:r>
      <w:r w:rsidR="005A1488">
        <w:rPr>
          <w:rFonts w:ascii="Arial" w:hAnsi="Arial" w:cs="Arial"/>
        </w:rPr>
        <w:t xml:space="preserve"> grant to </w:t>
      </w:r>
      <w:r w:rsidR="0044530F">
        <w:rPr>
          <w:rFonts w:ascii="Arial" w:hAnsi="Arial" w:cs="Arial"/>
        </w:rPr>
        <w:t xml:space="preserve">continue its commitment to </w:t>
      </w:r>
      <w:r w:rsidR="005A1488">
        <w:rPr>
          <w:rFonts w:ascii="Arial" w:hAnsi="Arial" w:cs="Arial"/>
        </w:rPr>
        <w:t xml:space="preserve">protecting and enhancing regional waterways and the environment. The </w:t>
      </w:r>
      <w:r w:rsidR="0044530F">
        <w:rPr>
          <w:rFonts w:ascii="Arial" w:hAnsi="Arial" w:cs="Arial"/>
        </w:rPr>
        <w:t>grant</w:t>
      </w:r>
      <w:r w:rsidR="005A1488">
        <w:rPr>
          <w:rFonts w:ascii="Arial" w:hAnsi="Arial" w:cs="Arial"/>
        </w:rPr>
        <w:t xml:space="preserve"> is part of </w:t>
      </w:r>
      <w:r w:rsidR="0044530F">
        <w:rPr>
          <w:rFonts w:ascii="Arial" w:hAnsi="Arial" w:cs="Arial"/>
        </w:rPr>
        <w:t>the Water Resources Fund, a $10 million commitment from Duke Energy.</w:t>
      </w:r>
    </w:p>
    <w:p w14:paraId="2E89D8B8" w14:textId="77777777" w:rsidR="0067100F" w:rsidRDefault="0067100F" w:rsidP="00E0317B">
      <w:pPr>
        <w:rPr>
          <w:rFonts w:ascii="Arial" w:hAnsi="Arial" w:cs="Arial"/>
        </w:rPr>
      </w:pPr>
    </w:p>
    <w:p w14:paraId="2E89D8B9" w14:textId="0495189D" w:rsidR="0049498F" w:rsidRDefault="00443260" w:rsidP="00867433">
      <w:pPr>
        <w:rPr>
          <w:rFonts w:ascii="Arial" w:hAnsi="Arial" w:cs="Arial"/>
        </w:rPr>
      </w:pPr>
      <w:r>
        <w:rPr>
          <w:rFonts w:ascii="Arial" w:hAnsi="Arial" w:cs="Arial"/>
          <w:noProof/>
        </w:rPr>
        <w:t>Yadkin-Pee Dee Water Management Group</w:t>
      </w:r>
      <w:r w:rsidR="00867433">
        <w:rPr>
          <w:rFonts w:ascii="Arial" w:hAnsi="Arial" w:cs="Arial"/>
        </w:rPr>
        <w:t xml:space="preserve"> </w:t>
      </w:r>
      <w:r w:rsidR="00DE57D0">
        <w:rPr>
          <w:rFonts w:ascii="Arial" w:hAnsi="Arial" w:cs="Arial"/>
        </w:rPr>
        <w:t xml:space="preserve">(YPDWMG) </w:t>
      </w:r>
      <w:r w:rsidR="007C64C9">
        <w:rPr>
          <w:rFonts w:ascii="Arial" w:hAnsi="Arial" w:cs="Arial"/>
        </w:rPr>
        <w:t>is</w:t>
      </w:r>
      <w:r w:rsidR="00867433">
        <w:rPr>
          <w:rFonts w:ascii="Arial" w:hAnsi="Arial" w:cs="Arial"/>
        </w:rPr>
        <w:t xml:space="preserve"> one of </w:t>
      </w:r>
      <w:r w:rsidR="00D1264B">
        <w:rPr>
          <w:rFonts w:ascii="Arial" w:hAnsi="Arial" w:cs="Arial"/>
        </w:rPr>
        <w:t>1</w:t>
      </w:r>
      <w:r w:rsidR="00944211">
        <w:rPr>
          <w:rFonts w:ascii="Arial" w:hAnsi="Arial" w:cs="Arial"/>
        </w:rPr>
        <w:t>1</w:t>
      </w:r>
      <w:r w:rsidR="00142326">
        <w:rPr>
          <w:rFonts w:ascii="Arial" w:hAnsi="Arial" w:cs="Arial"/>
        </w:rPr>
        <w:t xml:space="preserve"> </w:t>
      </w:r>
      <w:r w:rsidR="00867433">
        <w:rPr>
          <w:rFonts w:ascii="Arial" w:hAnsi="Arial" w:cs="Arial"/>
        </w:rPr>
        <w:t xml:space="preserve">organizations </w:t>
      </w:r>
      <w:r w:rsidR="00921153">
        <w:rPr>
          <w:rFonts w:ascii="Arial" w:hAnsi="Arial" w:cs="Arial"/>
        </w:rPr>
        <w:t xml:space="preserve">across </w:t>
      </w:r>
      <w:r w:rsidR="00D23192">
        <w:rPr>
          <w:rFonts w:ascii="Arial" w:hAnsi="Arial" w:cs="Arial"/>
        </w:rPr>
        <w:t>North and South</w:t>
      </w:r>
      <w:r w:rsidR="006952CB">
        <w:rPr>
          <w:rFonts w:ascii="Arial" w:hAnsi="Arial" w:cs="Arial"/>
        </w:rPr>
        <w:t xml:space="preserve"> Carolina</w:t>
      </w:r>
      <w:r w:rsidR="0049498F">
        <w:rPr>
          <w:rFonts w:ascii="Arial" w:hAnsi="Arial" w:cs="Arial"/>
        </w:rPr>
        <w:t xml:space="preserve"> </w:t>
      </w:r>
      <w:r w:rsidR="00921153">
        <w:rPr>
          <w:rFonts w:ascii="Arial" w:hAnsi="Arial" w:cs="Arial"/>
        </w:rPr>
        <w:t>to collectiv</w:t>
      </w:r>
      <w:r w:rsidR="004704BF">
        <w:rPr>
          <w:rFonts w:ascii="Arial" w:hAnsi="Arial" w:cs="Arial"/>
        </w:rPr>
        <w:t>ely receive</w:t>
      </w:r>
      <w:r w:rsidR="00A35390">
        <w:rPr>
          <w:rFonts w:ascii="Arial" w:hAnsi="Arial" w:cs="Arial"/>
        </w:rPr>
        <w:t xml:space="preserve"> more than</w:t>
      </w:r>
      <w:r w:rsidR="00D1264B">
        <w:rPr>
          <w:rFonts w:ascii="Arial" w:hAnsi="Arial" w:cs="Arial"/>
        </w:rPr>
        <w:t xml:space="preserve"> $</w:t>
      </w:r>
      <w:r w:rsidR="00944211">
        <w:rPr>
          <w:rFonts w:ascii="Arial" w:hAnsi="Arial" w:cs="Arial"/>
        </w:rPr>
        <w:t>8</w:t>
      </w:r>
      <w:r w:rsidR="00F41A51">
        <w:rPr>
          <w:rFonts w:ascii="Arial" w:hAnsi="Arial" w:cs="Arial"/>
        </w:rPr>
        <w:t>00,000</w:t>
      </w:r>
      <w:r w:rsidR="004704BF">
        <w:rPr>
          <w:rFonts w:ascii="Arial" w:hAnsi="Arial" w:cs="Arial"/>
        </w:rPr>
        <w:t xml:space="preserve"> </w:t>
      </w:r>
      <w:r w:rsidR="0047399B">
        <w:rPr>
          <w:rFonts w:ascii="Arial" w:hAnsi="Arial" w:cs="Arial"/>
        </w:rPr>
        <w:t xml:space="preserve">in the </w:t>
      </w:r>
      <w:r w:rsidR="00F41A51">
        <w:rPr>
          <w:rFonts w:ascii="Arial" w:hAnsi="Arial" w:cs="Arial"/>
        </w:rPr>
        <w:t>eighth</w:t>
      </w:r>
      <w:r w:rsidR="0047399B">
        <w:rPr>
          <w:rFonts w:ascii="Arial" w:hAnsi="Arial" w:cs="Arial"/>
        </w:rPr>
        <w:t xml:space="preserve"> grant announcement. </w:t>
      </w:r>
      <w:r w:rsidR="00867433" w:rsidRPr="000A39A6">
        <w:rPr>
          <w:rFonts w:ascii="Arial" w:hAnsi="Arial" w:cs="Arial"/>
        </w:rPr>
        <w:t xml:space="preserve">The Water Resources Fund is </w:t>
      </w:r>
      <w:r w:rsidR="00967584">
        <w:rPr>
          <w:rFonts w:ascii="Arial" w:hAnsi="Arial" w:cs="Arial"/>
        </w:rPr>
        <w:t>a</w:t>
      </w:r>
      <w:r w:rsidR="00867433" w:rsidRPr="000A39A6">
        <w:rPr>
          <w:rFonts w:ascii="Arial" w:hAnsi="Arial" w:cs="Arial"/>
        </w:rPr>
        <w:t xml:space="preserve"> </w:t>
      </w:r>
      <w:r w:rsidR="00C420F4">
        <w:rPr>
          <w:rFonts w:ascii="Arial" w:hAnsi="Arial" w:cs="Arial"/>
        </w:rPr>
        <w:t>multi</w:t>
      </w:r>
      <w:r w:rsidR="00867433" w:rsidRPr="000A39A6">
        <w:rPr>
          <w:rFonts w:ascii="Arial" w:hAnsi="Arial" w:cs="Arial"/>
        </w:rPr>
        <w:t>-year commitment that will leave a legacy of improved water quality, quantity and conservation in the Carolinas and neighboring regions.</w:t>
      </w:r>
      <w:r w:rsidR="007C64C9">
        <w:rPr>
          <w:rFonts w:ascii="Arial" w:hAnsi="Arial" w:cs="Arial"/>
        </w:rPr>
        <w:t xml:space="preserve"> </w:t>
      </w:r>
    </w:p>
    <w:p w14:paraId="2E89D8BA" w14:textId="77777777" w:rsidR="0067100F" w:rsidRDefault="004A0E2E" w:rsidP="00E0317B">
      <w:pPr>
        <w:rPr>
          <w:rFonts w:ascii="Arial" w:hAnsi="Arial" w:cs="Arial"/>
        </w:rPr>
      </w:pPr>
      <w:r>
        <w:rPr>
          <w:rFonts w:ascii="Arial" w:hAnsi="Arial" w:cs="Arial"/>
          <w:noProof/>
        </w:rPr>
        <mc:AlternateContent>
          <mc:Choice Requires="wps">
            <w:drawing>
              <wp:anchor distT="0" distB="0" distL="114300" distR="114300" simplePos="0" relativeHeight="251671551" behindDoc="0" locked="0" layoutInCell="1" allowOverlap="1" wp14:anchorId="2E89D8E0" wp14:editId="2E89D8E1">
                <wp:simplePos x="0" y="0"/>
                <wp:positionH relativeFrom="column">
                  <wp:posOffset>7248525</wp:posOffset>
                </wp:positionH>
                <wp:positionV relativeFrom="paragraph">
                  <wp:posOffset>85725</wp:posOffset>
                </wp:positionV>
                <wp:extent cx="831215" cy="1647825"/>
                <wp:effectExtent l="133350" t="0" r="26035" b="28575"/>
                <wp:wrapNone/>
                <wp:docPr id="6" name="Rectangular Callout 6"/>
                <wp:cNvGraphicFramePr/>
                <a:graphic xmlns:a="http://schemas.openxmlformats.org/drawingml/2006/main">
                  <a:graphicData uri="http://schemas.microsoft.com/office/word/2010/wordprocessingShape">
                    <wps:wsp>
                      <wps:cNvSpPr/>
                      <wps:spPr>
                        <a:xfrm>
                          <a:off x="0" y="0"/>
                          <a:ext cx="831215" cy="1647825"/>
                        </a:xfrm>
                        <a:prstGeom prst="wedgeRectCallout">
                          <a:avLst>
                            <a:gd name="adj1" fmla="val -64378"/>
                            <a:gd name="adj2" fmla="val -30564"/>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E89D8EA" w14:textId="77777777" w:rsidR="004A0E2E" w:rsidRDefault="004A0E2E" w:rsidP="004A0E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89D8E0" id="Rectangular Callout 6" o:spid="_x0000_s1029" type="#_x0000_t61" style="position:absolute;margin-left:570.75pt;margin-top:6.75pt;width:65.45pt;height:129.75pt;z-index:2516715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" adj="-3106,4198" filled="f" strokecolor="#243f60 [1604]" strokeweight=".25pt">
                <v:textbox>
                  <w:txbxContent>
                    <w:p w14:paraId="2E89D8EA" w14:textId="77777777" w:rsidR="004A0E2E" w:rsidRDefault="004A0E2E" w:rsidP="004A0E2E">
                      <w:pPr>
                        <w:jc w:val="center"/>
                      </w:pPr>
                    </w:p>
                  </w:txbxContent>
                </v:textbox>
              </v:shape>
            </w:pict>
          </mc:Fallback>
        </mc:AlternateContent>
      </w:r>
    </w:p>
    <w:p w14:paraId="0EB89EE4" w14:textId="77777777" w:rsidR="007864C7" w:rsidRDefault="007864C7" w:rsidP="007864C7">
      <w:pPr>
        <w:rPr>
          <w:rFonts w:ascii="Arial" w:hAnsi="Arial" w:cs="Arial"/>
        </w:rPr>
      </w:pPr>
      <w:r>
        <w:rPr>
          <w:rFonts w:ascii="Arial" w:hAnsi="Arial" w:cs="Arial"/>
        </w:rPr>
        <w:t>“This grant will help us better serve our communities for years to come” said Bill Brewer, Water Treatment Superintendent for the Winston-Salem/Forsyth County Utilities and current Chairman of the Yadkin Pee-Dee Water Management Group. “We thank the Duke Energy Water Resources Fund for its support of our Yadkin Pee-Dee Basin Master Planning efforts and are eager to launch this project for the sustainable use of our regions water resources.”</w:t>
      </w:r>
    </w:p>
    <w:p w14:paraId="2E89D8BC" w14:textId="77777777" w:rsidR="00E0317B" w:rsidRDefault="00E0317B" w:rsidP="00E0317B">
      <w:pPr>
        <w:rPr>
          <w:rFonts w:ascii="Arial" w:hAnsi="Arial" w:cs="Arial"/>
        </w:rPr>
      </w:pPr>
    </w:p>
    <w:p w14:paraId="2E89D8BD" w14:textId="4771780C" w:rsidR="00E407FF" w:rsidRDefault="00EC4822" w:rsidP="00575ACA">
      <w:pPr>
        <w:autoSpaceDE w:val="0"/>
        <w:autoSpaceDN w:val="0"/>
        <w:adjustRightInd w:val="0"/>
        <w:rPr>
          <w:rFonts w:ascii="Arial" w:hAnsi="Arial" w:cs="Arial"/>
        </w:rPr>
      </w:pPr>
      <w:r>
        <w:rPr>
          <w:rFonts w:ascii="Arial" w:hAnsi="Arial" w:cs="Arial"/>
        </w:rPr>
        <w:t>The funds from this grant will be used to develop a L</w:t>
      </w:r>
      <w:r w:rsidRPr="00EC4822">
        <w:rPr>
          <w:rFonts w:ascii="Arial" w:hAnsi="Arial" w:cs="Arial"/>
        </w:rPr>
        <w:t>ong-Range Water Supply Master Plan</w:t>
      </w:r>
      <w:r>
        <w:rPr>
          <w:rFonts w:ascii="Arial" w:hAnsi="Arial" w:cs="Arial"/>
        </w:rPr>
        <w:t xml:space="preserve"> that includes</w:t>
      </w:r>
      <w:r w:rsidRPr="00EC4822">
        <w:rPr>
          <w:rFonts w:ascii="Arial" w:hAnsi="Arial" w:cs="Arial"/>
        </w:rPr>
        <w:t>: 1) Master Plan</w:t>
      </w:r>
      <w:r>
        <w:rPr>
          <w:rFonts w:ascii="Arial" w:hAnsi="Arial" w:cs="Arial"/>
        </w:rPr>
        <w:t xml:space="preserve"> </w:t>
      </w:r>
      <w:r w:rsidRPr="00EC4822">
        <w:rPr>
          <w:rFonts w:ascii="Arial" w:hAnsi="Arial" w:cs="Arial"/>
        </w:rPr>
        <w:t>visioning/planning framework, 2) basin-wide long-range water demand projections, 3) Yadkin-Pee Dee</w:t>
      </w:r>
      <w:r>
        <w:rPr>
          <w:rFonts w:ascii="Arial" w:hAnsi="Arial" w:cs="Arial"/>
        </w:rPr>
        <w:t xml:space="preserve"> </w:t>
      </w:r>
      <w:r w:rsidRPr="00EC4822">
        <w:rPr>
          <w:rFonts w:ascii="Arial" w:hAnsi="Arial" w:cs="Arial"/>
        </w:rPr>
        <w:t>hydrologic model update, and 4) Master Plan Development.</w:t>
      </w:r>
      <w:r w:rsidR="00575ACA">
        <w:rPr>
          <w:rFonts w:ascii="Arial" w:hAnsi="Arial" w:cs="Arial"/>
        </w:rPr>
        <w:t xml:space="preserve">  </w:t>
      </w:r>
      <w:r w:rsidR="00575ACA" w:rsidRPr="00575ACA">
        <w:rPr>
          <w:rFonts w:ascii="Arial" w:hAnsi="Arial" w:cs="Arial"/>
        </w:rPr>
        <w:t>The Yadkin-Pee Dee Water Management Group's (YPDWMG) mission is to enhance the welfare of Yadkin- Pee Dee River basin residents by jointly planning for sustainable use of water.</w:t>
      </w:r>
    </w:p>
    <w:p w14:paraId="2E89D8BE" w14:textId="77777777" w:rsidR="00E0317B" w:rsidRPr="000A39A6" w:rsidRDefault="00E0317B" w:rsidP="00E0317B">
      <w:pPr>
        <w:rPr>
          <w:rFonts w:ascii="Arial" w:hAnsi="Arial" w:cs="Arial"/>
        </w:rPr>
      </w:pPr>
    </w:p>
    <w:p w14:paraId="2E89D8BF" w14:textId="496AC21A" w:rsidR="00282F19" w:rsidRPr="00732B2C" w:rsidRDefault="00282F19" w:rsidP="00282F19">
      <w:pPr>
        <w:rPr>
          <w:rFonts w:ascii="Arial" w:hAnsi="Arial" w:cs="Arial"/>
        </w:rPr>
      </w:pPr>
      <w:r w:rsidRPr="00282F19">
        <w:rPr>
          <w:rFonts w:ascii="Arial" w:hAnsi="Arial" w:cs="Arial"/>
        </w:rPr>
        <w:t>“Duke Energy is dedicated to protecting and restoring the rivers and waterways that power our regional economies,” said</w:t>
      </w:r>
      <w:r w:rsidR="00F41A51">
        <w:rPr>
          <w:rFonts w:ascii="Arial" w:hAnsi="Arial" w:cs="Arial"/>
        </w:rPr>
        <w:t xml:space="preserve"> Stephen De May</w:t>
      </w:r>
      <w:r w:rsidRPr="00282F19">
        <w:rPr>
          <w:rFonts w:ascii="Arial" w:hAnsi="Arial" w:cs="Arial"/>
        </w:rPr>
        <w:t xml:space="preserve">, president of Duke Energy in North Carolina. “We look forward to our partnership with </w:t>
      </w:r>
      <w:r w:rsidR="00EC4822">
        <w:rPr>
          <w:rFonts w:ascii="Arial" w:hAnsi="Arial" w:cs="Arial"/>
        </w:rPr>
        <w:t>Yadkin-Pee Dee Water Management Group</w:t>
      </w:r>
      <w:r w:rsidRPr="00282F19">
        <w:rPr>
          <w:rFonts w:ascii="Arial" w:hAnsi="Arial" w:cs="Arial"/>
        </w:rPr>
        <w:t xml:space="preserve"> and the impact this project will have in the region.”</w:t>
      </w:r>
    </w:p>
    <w:p w14:paraId="2E89D8C0" w14:textId="77777777" w:rsidR="000B005A" w:rsidRDefault="000B005A" w:rsidP="00E0317B">
      <w:pPr>
        <w:rPr>
          <w:rFonts w:ascii="Arial" w:hAnsi="Arial" w:cs="Arial"/>
        </w:rPr>
      </w:pPr>
    </w:p>
    <w:p w14:paraId="2E89D8C1" w14:textId="77777777" w:rsidR="00207820" w:rsidRDefault="00207820" w:rsidP="00207820">
      <w:pPr>
        <w:rPr>
          <w:rFonts w:ascii="Arial" w:hAnsi="Arial" w:cs="Arial"/>
        </w:rPr>
      </w:pPr>
      <w:r>
        <w:rPr>
          <w:rFonts w:ascii="Arial" w:hAnsi="Arial" w:cs="Arial"/>
        </w:rPr>
        <w:t>Investment decisions are carefully reviewed by the Water Resources Fund committee, an independent body that includes five environmental experts and two Duke Energy employees. Selected projects are chosen on several criteria, including whether the project is science-based and research-supported.</w:t>
      </w:r>
    </w:p>
    <w:p w14:paraId="2E89D8C2" w14:textId="77777777" w:rsidR="00207820" w:rsidRDefault="00207820" w:rsidP="00207820">
      <w:pPr>
        <w:rPr>
          <w:rFonts w:ascii="Arial" w:hAnsi="Arial" w:cs="Arial"/>
        </w:rPr>
      </w:pPr>
    </w:p>
    <w:p w14:paraId="605A3F19" w14:textId="77777777" w:rsidR="008269B0" w:rsidRDefault="008269B0" w:rsidP="008269B0">
      <w:pPr>
        <w:rPr>
          <w:rFonts w:ascii="Arial" w:eastAsiaTheme="minorHAnsi" w:hAnsi="Arial" w:cs="Arial"/>
          <w:sz w:val="22"/>
          <w:szCs w:val="22"/>
        </w:rPr>
      </w:pPr>
      <w:r>
        <w:rPr>
          <w:rFonts w:ascii="Arial" w:hAnsi="Arial" w:cs="Arial"/>
        </w:rPr>
        <w:lastRenderedPageBreak/>
        <w:t xml:space="preserve">Duke Energy anticipates one remaining grant announcement to fulfill the $10 million commitment to the Water Resources Fund. Visit </w:t>
      </w:r>
      <w:hyperlink r:id="rId11" w:history="1">
        <w:r>
          <w:rPr>
            <w:rStyle w:val="Hyperlink"/>
            <w:rFonts w:ascii="Arial" w:hAnsi="Arial" w:cs="Arial"/>
          </w:rPr>
          <w:t>nccommunityfoundation.org</w:t>
        </w:r>
      </w:hyperlink>
      <w:r>
        <w:rPr>
          <w:rFonts w:ascii="Arial" w:hAnsi="Arial" w:cs="Arial"/>
        </w:rPr>
        <w:t xml:space="preserve"> for more information on how to apply. </w:t>
      </w:r>
    </w:p>
    <w:p w14:paraId="2E89D8C4" w14:textId="77777777" w:rsidR="00EC0A78" w:rsidRDefault="00EC0A78" w:rsidP="0067100F">
      <w:pPr>
        <w:rPr>
          <w:rFonts w:ascii="Arial" w:hAnsi="Arial" w:cs="Arial"/>
          <w:b/>
        </w:rPr>
      </w:pPr>
    </w:p>
    <w:p w14:paraId="2E89D8C5" w14:textId="1E96D0C5" w:rsidR="0067100F" w:rsidRDefault="0067100F" w:rsidP="0067100F">
      <w:pPr>
        <w:rPr>
          <w:rFonts w:ascii="Arial" w:hAnsi="Arial" w:cs="Arial"/>
          <w:b/>
        </w:rPr>
      </w:pPr>
      <w:r w:rsidRPr="000A39A6">
        <w:rPr>
          <w:rFonts w:ascii="Arial" w:hAnsi="Arial" w:cs="Arial"/>
          <w:b/>
        </w:rPr>
        <w:t xml:space="preserve">About </w:t>
      </w:r>
      <w:r w:rsidR="00D57B57">
        <w:rPr>
          <w:rFonts w:ascii="Arial" w:hAnsi="Arial" w:cs="Arial"/>
          <w:b/>
        </w:rPr>
        <w:t>Yadkin-Pee Dee Water Management Group</w:t>
      </w:r>
    </w:p>
    <w:p w14:paraId="1AD3C586" w14:textId="77777777" w:rsidR="007864C7" w:rsidRPr="000A39A6" w:rsidRDefault="007864C7" w:rsidP="0067100F">
      <w:pPr>
        <w:rPr>
          <w:rFonts w:ascii="Arial" w:hAnsi="Arial" w:cs="Arial"/>
          <w:b/>
        </w:rPr>
      </w:pPr>
    </w:p>
    <w:p w14:paraId="2E89D8C6" w14:textId="094C2CB1" w:rsidR="0067100F" w:rsidRDefault="007864C7" w:rsidP="0067100F">
      <w:pPr>
        <w:rPr>
          <w:rFonts w:ascii="Arial" w:hAnsi="Arial" w:cs="Arial"/>
        </w:rPr>
      </w:pPr>
      <w:r w:rsidRPr="007864C7">
        <w:rPr>
          <w:rFonts w:ascii="Arial" w:hAnsi="Arial" w:cs="Arial"/>
        </w:rPr>
        <w:t>The Yadkin-Pee Dee Water Management Group (YPDWMG) was developed through a collaborative effort by a workgroup of 18 Governmental, public water utility and reservoir operator parties providing service within the Yadkin-Pee Dee Basin.  </w:t>
      </w:r>
    </w:p>
    <w:p w14:paraId="2E89D8C7" w14:textId="494D62BF" w:rsidR="00E0317B" w:rsidRDefault="00E0317B" w:rsidP="00E0317B">
      <w:pPr>
        <w:rPr>
          <w:rFonts w:ascii="Arial" w:hAnsi="Arial" w:cs="Arial"/>
          <w:b/>
        </w:rPr>
      </w:pPr>
    </w:p>
    <w:p w14:paraId="38D214A6" w14:textId="62EDAE1C" w:rsidR="007864C7" w:rsidRPr="007864C7" w:rsidRDefault="007864C7" w:rsidP="00E0317B">
      <w:pPr>
        <w:rPr>
          <w:rFonts w:ascii="Arial" w:hAnsi="Arial" w:cs="Arial"/>
        </w:rPr>
      </w:pPr>
      <w:r w:rsidRPr="007864C7">
        <w:rPr>
          <w:rFonts w:ascii="Arial" w:hAnsi="Arial" w:cs="Arial"/>
        </w:rPr>
        <w:t>The Yadkin-Pee Dee Water Management Group works together to plan for the water supply of the Yadkin-Pee Dee River Basin. The group has a goal of defining the basin’s role in a long-term sustainable and secure regional water supply for the Yadkin-Pee Dee region, and by operating under the principles of regional collaboration, sustainable water supply, environmental stewardship, mutual and collective benefit, shared responsibility, equal representation, and financial stability.</w:t>
      </w:r>
    </w:p>
    <w:p w14:paraId="533D54BE" w14:textId="77777777" w:rsidR="007864C7" w:rsidRDefault="007864C7" w:rsidP="00E0317B">
      <w:pPr>
        <w:rPr>
          <w:rFonts w:ascii="Arial" w:hAnsi="Arial" w:cs="Arial"/>
          <w:b/>
        </w:rPr>
      </w:pPr>
    </w:p>
    <w:p w14:paraId="2E89D8C8" w14:textId="41E93FEC" w:rsidR="008F1B2E" w:rsidRDefault="008F1B2E" w:rsidP="008F1B2E">
      <w:pPr>
        <w:pStyle w:val="05-Subheadline"/>
        <w:spacing w:before="0" w:after="180" w:line="300" w:lineRule="exact"/>
      </w:pPr>
      <w:r>
        <w:t>A</w:t>
      </w:r>
      <w:r w:rsidRPr="00A956D4">
        <w:t>bout Duke Energy Foundation</w:t>
      </w:r>
    </w:p>
    <w:p w14:paraId="02D65039" w14:textId="77777777" w:rsidR="00F41A51" w:rsidRDefault="00F41A51" w:rsidP="00F41A51">
      <w:pPr>
        <w:pStyle w:val="05-Subheadline"/>
        <w:spacing w:before="0" w:after="180" w:line="240" w:lineRule="auto"/>
        <w:contextualSpacing/>
        <w:rPr>
          <w:rFonts w:eastAsiaTheme="minorHAnsi"/>
          <w:szCs w:val="24"/>
        </w:rPr>
      </w:pPr>
      <w:r>
        <w:t>Duke Energy Foundation</w:t>
      </w:r>
    </w:p>
    <w:p w14:paraId="72D055E6" w14:textId="4C703C06" w:rsidR="00F41A51" w:rsidRDefault="00F41A51" w:rsidP="00F41A51">
      <w:pPr>
        <w:pStyle w:val="06-BodyCopy"/>
        <w:rPr>
          <w:rStyle w:val="Hyperlink"/>
        </w:rPr>
      </w:pPr>
      <w:r>
        <w:t xml:space="preserve">The Duke Energy Foundation provides philanthropic support to address the needs of communities where its customers live and work. The Foundation contributes more than $30 million annually in charitable gifts. More information about the Duke Energy Foundation and its Powerful Communities program can be found at </w:t>
      </w:r>
      <w:hyperlink r:id="rId12" w:history="1">
        <w:r>
          <w:rPr>
            <w:rStyle w:val="Hyperlink"/>
          </w:rPr>
          <w:t>duke-energy.com/foundation</w:t>
        </w:r>
      </w:hyperlink>
      <w:r>
        <w:rPr>
          <w:rStyle w:val="Hyperlink"/>
        </w:rPr>
        <w:t>.</w:t>
      </w:r>
    </w:p>
    <w:p w14:paraId="08BB7EAF" w14:textId="77777777" w:rsidR="00F41A51" w:rsidRDefault="00F41A51" w:rsidP="00F41A51">
      <w:pPr>
        <w:pStyle w:val="06-BodyCopy"/>
      </w:pPr>
    </w:p>
    <w:p w14:paraId="3D7C456E" w14:textId="37F71B57" w:rsidR="00F41A51" w:rsidRDefault="00F41A51" w:rsidP="00F41A51">
      <w:pPr>
        <w:pStyle w:val="06-BodyCopy"/>
      </w:pPr>
      <w:r>
        <w:t>The Duke Energy Foundation is solely funded by Duke Energy Corporation (NYSE: DUK) shareholder dollars.</w:t>
      </w:r>
    </w:p>
    <w:p w14:paraId="1DE09992" w14:textId="77777777" w:rsidR="00F41A51" w:rsidRDefault="00F41A51" w:rsidP="00F41A51">
      <w:pPr>
        <w:pStyle w:val="06-BodyCopy"/>
      </w:pPr>
    </w:p>
    <w:p w14:paraId="63805484" w14:textId="1BF7C483" w:rsidR="00F41A51" w:rsidRDefault="00F41A51" w:rsidP="00F41A51">
      <w:pPr>
        <w:pStyle w:val="06-BodyCopy"/>
        <w:rPr>
          <w:color w:val="auto"/>
        </w:rPr>
      </w:pPr>
      <w:r>
        <w:rPr>
          <w:color w:val="auto"/>
        </w:rPr>
        <w:t>Headquartered in Charlotte, N.C., Duke Energy is one of the largest energy holding companies in the U.S., with approximately 29,000 employees and a generating capacity of 49,500 megawatts. The company is transforming its customers’ experience, modernizing its energy grid, generating cleaner energy and expanding its natural gas infrastructure to create a smarter energy future for the people and communities it serves.</w:t>
      </w:r>
    </w:p>
    <w:p w14:paraId="0B3A8D44" w14:textId="77777777" w:rsidR="00F41A51" w:rsidRDefault="00F41A51" w:rsidP="00F41A51">
      <w:pPr>
        <w:pStyle w:val="06-BodyCopy"/>
        <w:rPr>
          <w:color w:val="auto"/>
        </w:rPr>
      </w:pPr>
    </w:p>
    <w:p w14:paraId="4D3737B3" w14:textId="604A1B9B" w:rsidR="00F41A51" w:rsidRDefault="00F41A51" w:rsidP="00F41A51">
      <w:pPr>
        <w:pStyle w:val="06-BodyCopy"/>
        <w:rPr>
          <w:color w:val="auto"/>
        </w:rPr>
      </w:pPr>
      <w:r>
        <w:rPr>
          <w:color w:val="auto"/>
        </w:rPr>
        <w:t>A Fortune 125 company, Duke Energy was named to Fortune’s 2018 “World’s Most Admired Companies” list and Forbes’ 2018 “America’s Best Employers” list.</w:t>
      </w:r>
    </w:p>
    <w:p w14:paraId="1611E21A" w14:textId="77777777" w:rsidR="00F41A51" w:rsidRDefault="00F41A51" w:rsidP="00F41A51">
      <w:pPr>
        <w:pStyle w:val="06-BodyCopy"/>
        <w:rPr>
          <w:color w:val="auto"/>
        </w:rPr>
      </w:pPr>
    </w:p>
    <w:p w14:paraId="5A60AF82" w14:textId="77777777" w:rsidR="00F41A51" w:rsidRDefault="00F41A51" w:rsidP="00F41A51">
      <w:pPr>
        <w:pStyle w:val="06-BodyCopy"/>
      </w:pPr>
      <w:r>
        <w:t xml:space="preserve">More information about the company is available at </w:t>
      </w:r>
      <w:hyperlink r:id="rId13" w:history="1">
        <w:r>
          <w:rPr>
            <w:rStyle w:val="Hyperlink"/>
          </w:rPr>
          <w:t>duke-energy.com</w:t>
        </w:r>
      </w:hyperlink>
      <w:r>
        <w:t xml:space="preserve">. The </w:t>
      </w:r>
      <w:hyperlink r:id="rId14" w:history="1">
        <w:r>
          <w:rPr>
            <w:rStyle w:val="Hyperlink"/>
          </w:rPr>
          <w:t>Duke Energy News Center</w:t>
        </w:r>
      </w:hyperlink>
      <w:r>
        <w:t xml:space="preserve"> includes news releases, fact sheets, photos, videos and other materials. Duke Energy’s </w:t>
      </w:r>
      <w:hyperlink r:id="rId15" w:history="1">
        <w:r>
          <w:rPr>
            <w:rStyle w:val="Hyperlink"/>
          </w:rPr>
          <w:t>illumination</w:t>
        </w:r>
      </w:hyperlink>
      <w:r>
        <w:t xml:space="preserve"> features stories about people, innovations, community topics and environmental issues. Follow Duke Energy on </w:t>
      </w:r>
      <w:hyperlink r:id="rId16" w:history="1">
        <w:r>
          <w:rPr>
            <w:rStyle w:val="Hyperlink"/>
          </w:rPr>
          <w:t>Twitter</w:t>
        </w:r>
      </w:hyperlink>
      <w:r>
        <w:t xml:space="preserve">, </w:t>
      </w:r>
      <w:hyperlink r:id="rId17" w:history="1">
        <w:r>
          <w:rPr>
            <w:rStyle w:val="Hyperlink"/>
          </w:rPr>
          <w:t>LinkedIn</w:t>
        </w:r>
      </w:hyperlink>
      <w:r>
        <w:t xml:space="preserve">, </w:t>
      </w:r>
      <w:hyperlink r:id="rId18" w:history="1">
        <w:r>
          <w:rPr>
            <w:rStyle w:val="Hyperlink"/>
          </w:rPr>
          <w:t>Instagram</w:t>
        </w:r>
      </w:hyperlink>
      <w:r>
        <w:t xml:space="preserve"> and </w:t>
      </w:r>
      <w:hyperlink r:id="rId19" w:history="1">
        <w:r>
          <w:rPr>
            <w:rStyle w:val="Hyperlink"/>
          </w:rPr>
          <w:t>Facebook</w:t>
        </w:r>
      </w:hyperlink>
      <w:r>
        <w:t>.</w:t>
      </w:r>
    </w:p>
    <w:p w14:paraId="2B27AB89" w14:textId="77777777" w:rsidR="00F41A51" w:rsidRPr="00A956D4" w:rsidRDefault="00F41A51" w:rsidP="008F1B2E">
      <w:pPr>
        <w:pStyle w:val="05-Subheadline"/>
        <w:spacing w:before="0" w:after="180" w:line="300" w:lineRule="exact"/>
      </w:pPr>
    </w:p>
    <w:p w14:paraId="2E89D8D4" w14:textId="77777777" w:rsidR="00E0317B" w:rsidRPr="000A39A6" w:rsidRDefault="00E0317B" w:rsidP="00E0317B">
      <w:pPr>
        <w:jc w:val="center"/>
        <w:rPr>
          <w:rFonts w:ascii="Arial" w:hAnsi="Arial" w:cs="Arial"/>
        </w:rPr>
      </w:pPr>
      <w:r w:rsidRPr="000A39A6">
        <w:rPr>
          <w:rFonts w:ascii="Arial" w:hAnsi="Arial" w:cs="Arial"/>
        </w:rPr>
        <w:t>###</w:t>
      </w:r>
    </w:p>
    <w:p w14:paraId="2E89D8D5" w14:textId="77777777" w:rsidR="000342C1" w:rsidRDefault="008F3BBF"/>
    <w:sectPr w:rsidR="000342C1" w:rsidSect="001D23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4E143" w14:textId="77777777" w:rsidR="008F3BBF" w:rsidRDefault="008F3BBF" w:rsidP="00D9613D">
      <w:r>
        <w:separator/>
      </w:r>
    </w:p>
  </w:endnote>
  <w:endnote w:type="continuationSeparator" w:id="0">
    <w:p w14:paraId="2AB460DA" w14:textId="77777777" w:rsidR="008F3BBF" w:rsidRDefault="008F3BBF" w:rsidP="00D9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BCE07" w14:textId="77777777" w:rsidR="008F3BBF" w:rsidRDefault="008F3BBF" w:rsidP="00D9613D">
      <w:r>
        <w:separator/>
      </w:r>
    </w:p>
  </w:footnote>
  <w:footnote w:type="continuationSeparator" w:id="0">
    <w:p w14:paraId="7E1DDCCA" w14:textId="77777777" w:rsidR="008F3BBF" w:rsidRDefault="008F3BBF" w:rsidP="00D96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18C9"/>
    <w:multiLevelType w:val="hybridMultilevel"/>
    <w:tmpl w:val="13A29F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C1CC4"/>
    <w:multiLevelType w:val="hybridMultilevel"/>
    <w:tmpl w:val="539C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34AEC"/>
    <w:multiLevelType w:val="hybridMultilevel"/>
    <w:tmpl w:val="05A2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F1E36"/>
    <w:multiLevelType w:val="hybridMultilevel"/>
    <w:tmpl w:val="6406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C729E"/>
    <w:multiLevelType w:val="hybridMultilevel"/>
    <w:tmpl w:val="D354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A55F9"/>
    <w:multiLevelType w:val="hybridMultilevel"/>
    <w:tmpl w:val="7AD0F84E"/>
    <w:lvl w:ilvl="0" w:tplc="3066FF96">
      <w:start w:val="1"/>
      <w:numFmt w:val="bullet"/>
      <w:pStyle w:val="07-BulletedText"/>
      <w:lvlText w:val=""/>
      <w:lvlJc w:val="left"/>
      <w:pPr>
        <w:ind w:left="720" w:hanging="360"/>
      </w:pPr>
      <w:rPr>
        <w:rFonts w:ascii="Wingdings" w:hAnsi="Wingdings" w:hint="default"/>
        <w:color w:val="EEECE1" w:themeColor="background2"/>
      </w:rPr>
    </w:lvl>
    <w:lvl w:ilvl="1" w:tplc="6B9247B0">
      <w:start w:val="1"/>
      <w:numFmt w:val="bullet"/>
      <w:pStyle w:val="07B-BulletedTextIncreasedIndent"/>
      <w:lvlText w:val="•"/>
      <w:lvlJc w:val="left"/>
      <w:pPr>
        <w:ind w:left="1440" w:hanging="360"/>
      </w:pPr>
      <w:rPr>
        <w:rFonts w:ascii="Arial" w:hAnsi="Arial" w:hint="default"/>
        <w:color w:val="EEECE1" w:themeColor="background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7B"/>
    <w:rsid w:val="000020B3"/>
    <w:rsid w:val="000B005A"/>
    <w:rsid w:val="000E4A92"/>
    <w:rsid w:val="000F5419"/>
    <w:rsid w:val="00142326"/>
    <w:rsid w:val="00193900"/>
    <w:rsid w:val="001C2CD4"/>
    <w:rsid w:val="001D4E99"/>
    <w:rsid w:val="001F2B8E"/>
    <w:rsid w:val="00207820"/>
    <w:rsid w:val="00261882"/>
    <w:rsid w:val="00282F19"/>
    <w:rsid w:val="002A49F6"/>
    <w:rsid w:val="002B32D1"/>
    <w:rsid w:val="002B609B"/>
    <w:rsid w:val="002C17D6"/>
    <w:rsid w:val="00303FAD"/>
    <w:rsid w:val="00323769"/>
    <w:rsid w:val="00431B24"/>
    <w:rsid w:val="0043370F"/>
    <w:rsid w:val="00443260"/>
    <w:rsid w:val="0044530F"/>
    <w:rsid w:val="004634F5"/>
    <w:rsid w:val="004704BF"/>
    <w:rsid w:val="0047399B"/>
    <w:rsid w:val="0049498F"/>
    <w:rsid w:val="004A0E2E"/>
    <w:rsid w:val="004B1B61"/>
    <w:rsid w:val="004D5C58"/>
    <w:rsid w:val="004D6DC1"/>
    <w:rsid w:val="00516C2B"/>
    <w:rsid w:val="00575ACA"/>
    <w:rsid w:val="005A1488"/>
    <w:rsid w:val="005F2E57"/>
    <w:rsid w:val="00625293"/>
    <w:rsid w:val="006400E9"/>
    <w:rsid w:val="0067100F"/>
    <w:rsid w:val="00694662"/>
    <w:rsid w:val="006952CB"/>
    <w:rsid w:val="00784F12"/>
    <w:rsid w:val="007864C7"/>
    <w:rsid w:val="007A179F"/>
    <w:rsid w:val="007C64C9"/>
    <w:rsid w:val="007D3E9A"/>
    <w:rsid w:val="00802A54"/>
    <w:rsid w:val="00810119"/>
    <w:rsid w:val="008269B0"/>
    <w:rsid w:val="00854238"/>
    <w:rsid w:val="00867433"/>
    <w:rsid w:val="008C6403"/>
    <w:rsid w:val="008E5F1A"/>
    <w:rsid w:val="008F1B2E"/>
    <w:rsid w:val="008F3BBF"/>
    <w:rsid w:val="00921153"/>
    <w:rsid w:val="00936525"/>
    <w:rsid w:val="00944211"/>
    <w:rsid w:val="00967584"/>
    <w:rsid w:val="00985204"/>
    <w:rsid w:val="009B6652"/>
    <w:rsid w:val="009C7957"/>
    <w:rsid w:val="00A21A03"/>
    <w:rsid w:val="00A30EBD"/>
    <w:rsid w:val="00A35390"/>
    <w:rsid w:val="00A87010"/>
    <w:rsid w:val="00AD7D39"/>
    <w:rsid w:val="00BD0EAC"/>
    <w:rsid w:val="00C354B0"/>
    <w:rsid w:val="00C41D0D"/>
    <w:rsid w:val="00C420F4"/>
    <w:rsid w:val="00C54A4A"/>
    <w:rsid w:val="00CC02A9"/>
    <w:rsid w:val="00D1264B"/>
    <w:rsid w:val="00D23192"/>
    <w:rsid w:val="00D57B57"/>
    <w:rsid w:val="00D675F6"/>
    <w:rsid w:val="00D9172F"/>
    <w:rsid w:val="00D9613D"/>
    <w:rsid w:val="00DA0946"/>
    <w:rsid w:val="00DC4F5C"/>
    <w:rsid w:val="00DE57D0"/>
    <w:rsid w:val="00E0317B"/>
    <w:rsid w:val="00E255B1"/>
    <w:rsid w:val="00E407FF"/>
    <w:rsid w:val="00E852CD"/>
    <w:rsid w:val="00EA1B49"/>
    <w:rsid w:val="00EC0A78"/>
    <w:rsid w:val="00EC4822"/>
    <w:rsid w:val="00F41A51"/>
    <w:rsid w:val="00F52A48"/>
    <w:rsid w:val="00F74625"/>
    <w:rsid w:val="00FE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D8AD"/>
  <w15:docId w15:val="{BB83D72F-7895-4154-BB27-5BB5B92D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1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317B"/>
    <w:pPr>
      <w:ind w:left="720"/>
      <w:contextualSpacing/>
    </w:pPr>
  </w:style>
  <w:style w:type="paragraph" w:customStyle="1" w:styleId="06-BodyCopy">
    <w:name w:val="06-Body Copy"/>
    <w:uiPriority w:val="99"/>
    <w:qFormat/>
    <w:rsid w:val="004B1B61"/>
    <w:pPr>
      <w:spacing w:after="0" w:line="240" w:lineRule="auto"/>
    </w:pPr>
    <w:rPr>
      <w:rFonts w:ascii="Arial" w:eastAsia="ヒラギノ角ゴ Pro W3" w:hAnsi="Arial" w:cs="Times New Roman"/>
      <w:color w:val="000000"/>
    </w:rPr>
  </w:style>
  <w:style w:type="character" w:styleId="Hyperlink">
    <w:name w:val="Hyperlink"/>
    <w:basedOn w:val="DefaultParagraphFont"/>
    <w:unhideWhenUsed/>
    <w:rsid w:val="00E407FF"/>
    <w:rPr>
      <w:color w:val="0000FF" w:themeColor="hyperlink"/>
      <w:u w:val="single"/>
    </w:rPr>
  </w:style>
  <w:style w:type="character" w:styleId="CommentReference">
    <w:name w:val="annotation reference"/>
    <w:basedOn w:val="DefaultParagraphFont"/>
    <w:uiPriority w:val="99"/>
    <w:semiHidden/>
    <w:unhideWhenUsed/>
    <w:rsid w:val="004634F5"/>
    <w:rPr>
      <w:sz w:val="16"/>
      <w:szCs w:val="16"/>
    </w:rPr>
  </w:style>
  <w:style w:type="paragraph" w:styleId="CommentText">
    <w:name w:val="annotation text"/>
    <w:basedOn w:val="Normal"/>
    <w:link w:val="CommentTextChar"/>
    <w:uiPriority w:val="99"/>
    <w:semiHidden/>
    <w:unhideWhenUsed/>
    <w:rsid w:val="004634F5"/>
    <w:rPr>
      <w:sz w:val="20"/>
      <w:szCs w:val="20"/>
    </w:rPr>
  </w:style>
  <w:style w:type="character" w:customStyle="1" w:styleId="CommentTextChar">
    <w:name w:val="Comment Text Char"/>
    <w:basedOn w:val="DefaultParagraphFont"/>
    <w:link w:val="CommentText"/>
    <w:uiPriority w:val="99"/>
    <w:semiHidden/>
    <w:rsid w:val="004634F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634F5"/>
    <w:rPr>
      <w:b/>
      <w:bCs/>
    </w:rPr>
  </w:style>
  <w:style w:type="character" w:customStyle="1" w:styleId="CommentSubjectChar">
    <w:name w:val="Comment Subject Char"/>
    <w:basedOn w:val="CommentTextChar"/>
    <w:link w:val="CommentSubject"/>
    <w:uiPriority w:val="99"/>
    <w:semiHidden/>
    <w:rsid w:val="004634F5"/>
    <w:rPr>
      <w:rFonts w:eastAsiaTheme="minorEastAsia"/>
      <w:b/>
      <w:bCs/>
      <w:sz w:val="20"/>
      <w:szCs w:val="20"/>
    </w:rPr>
  </w:style>
  <w:style w:type="paragraph" w:styleId="BalloonText">
    <w:name w:val="Balloon Text"/>
    <w:basedOn w:val="Normal"/>
    <w:link w:val="BalloonTextChar"/>
    <w:uiPriority w:val="99"/>
    <w:semiHidden/>
    <w:unhideWhenUsed/>
    <w:rsid w:val="004634F5"/>
    <w:rPr>
      <w:rFonts w:ascii="Tahoma" w:hAnsi="Tahoma" w:cs="Tahoma"/>
      <w:sz w:val="16"/>
      <w:szCs w:val="16"/>
    </w:rPr>
  </w:style>
  <w:style w:type="character" w:customStyle="1" w:styleId="BalloonTextChar">
    <w:name w:val="Balloon Text Char"/>
    <w:basedOn w:val="DefaultParagraphFont"/>
    <w:link w:val="BalloonText"/>
    <w:uiPriority w:val="99"/>
    <w:semiHidden/>
    <w:rsid w:val="004634F5"/>
    <w:rPr>
      <w:rFonts w:ascii="Tahoma" w:eastAsiaTheme="minorEastAsia" w:hAnsi="Tahoma" w:cs="Tahoma"/>
      <w:sz w:val="16"/>
      <w:szCs w:val="16"/>
    </w:rPr>
  </w:style>
  <w:style w:type="paragraph" w:styleId="Header">
    <w:name w:val="header"/>
    <w:basedOn w:val="Normal"/>
    <w:link w:val="HeaderChar"/>
    <w:uiPriority w:val="99"/>
    <w:unhideWhenUsed/>
    <w:rsid w:val="00D9613D"/>
    <w:pPr>
      <w:tabs>
        <w:tab w:val="center" w:pos="4680"/>
        <w:tab w:val="right" w:pos="9360"/>
      </w:tabs>
    </w:pPr>
  </w:style>
  <w:style w:type="character" w:customStyle="1" w:styleId="HeaderChar">
    <w:name w:val="Header Char"/>
    <w:basedOn w:val="DefaultParagraphFont"/>
    <w:link w:val="Header"/>
    <w:uiPriority w:val="99"/>
    <w:rsid w:val="00D9613D"/>
    <w:rPr>
      <w:rFonts w:eastAsiaTheme="minorEastAsia"/>
      <w:sz w:val="24"/>
      <w:szCs w:val="24"/>
    </w:rPr>
  </w:style>
  <w:style w:type="paragraph" w:styleId="Footer">
    <w:name w:val="footer"/>
    <w:basedOn w:val="Normal"/>
    <w:link w:val="FooterChar"/>
    <w:uiPriority w:val="99"/>
    <w:unhideWhenUsed/>
    <w:rsid w:val="00D9613D"/>
    <w:pPr>
      <w:tabs>
        <w:tab w:val="center" w:pos="4680"/>
        <w:tab w:val="right" w:pos="9360"/>
      </w:tabs>
    </w:pPr>
  </w:style>
  <w:style w:type="character" w:customStyle="1" w:styleId="FooterChar">
    <w:name w:val="Footer Char"/>
    <w:basedOn w:val="DefaultParagraphFont"/>
    <w:link w:val="Footer"/>
    <w:uiPriority w:val="99"/>
    <w:rsid w:val="00D9613D"/>
    <w:rPr>
      <w:rFonts w:eastAsiaTheme="minorEastAsia"/>
      <w:sz w:val="24"/>
      <w:szCs w:val="24"/>
    </w:rPr>
  </w:style>
  <w:style w:type="character" w:customStyle="1" w:styleId="ListParagraphChar">
    <w:name w:val="List Paragraph Char"/>
    <w:basedOn w:val="DefaultParagraphFont"/>
    <w:link w:val="ListParagraph"/>
    <w:uiPriority w:val="34"/>
    <w:locked/>
    <w:rsid w:val="00E255B1"/>
    <w:rPr>
      <w:rFonts w:eastAsiaTheme="minorEastAsia"/>
      <w:sz w:val="24"/>
      <w:szCs w:val="24"/>
    </w:rPr>
  </w:style>
  <w:style w:type="paragraph" w:customStyle="1" w:styleId="05-Subheadline">
    <w:name w:val="05-Subheadline"/>
    <w:uiPriority w:val="99"/>
    <w:qFormat/>
    <w:rsid w:val="00985204"/>
    <w:pPr>
      <w:spacing w:before="240" w:after="40" w:line="280" w:lineRule="exact"/>
    </w:pPr>
    <w:rPr>
      <w:rFonts w:ascii="Arial" w:eastAsia="ヒラギノ角ゴ Pro W3" w:hAnsi="Arial" w:cs="Times New Roman"/>
      <w:b/>
      <w:color w:val="1F497D" w:themeColor="text2"/>
      <w:sz w:val="24"/>
      <w:szCs w:val="20"/>
    </w:rPr>
  </w:style>
  <w:style w:type="paragraph" w:styleId="Revision">
    <w:name w:val="Revision"/>
    <w:hidden/>
    <w:uiPriority w:val="99"/>
    <w:semiHidden/>
    <w:rsid w:val="007A179F"/>
    <w:pPr>
      <w:spacing w:after="0" w:line="240" w:lineRule="auto"/>
    </w:pPr>
    <w:rPr>
      <w:rFonts w:eastAsiaTheme="minorEastAsia"/>
      <w:sz w:val="24"/>
      <w:szCs w:val="24"/>
    </w:rPr>
  </w:style>
  <w:style w:type="paragraph" w:customStyle="1" w:styleId="07-BulletedText">
    <w:name w:val="07-Bulleted Text"/>
    <w:link w:val="07-BulletedTextChar"/>
    <w:qFormat/>
    <w:rsid w:val="000B005A"/>
    <w:pPr>
      <w:numPr>
        <w:numId w:val="5"/>
      </w:numPr>
      <w:spacing w:after="0" w:line="240" w:lineRule="auto"/>
      <w:contextualSpacing/>
    </w:pPr>
    <w:rPr>
      <w:rFonts w:ascii="Arial" w:eastAsia="ヒラギノ角ゴ Pro W3" w:hAnsi="Arial" w:cs="Times New Roman"/>
      <w:color w:val="000000"/>
    </w:rPr>
  </w:style>
  <w:style w:type="paragraph" w:customStyle="1" w:styleId="07B-BulletedTextIncreasedIndent">
    <w:name w:val="07B-Bulleted Text Increased Indent"/>
    <w:basedOn w:val="07-BulletedText"/>
    <w:autoRedefine/>
    <w:qFormat/>
    <w:rsid w:val="000B005A"/>
    <w:pPr>
      <w:numPr>
        <w:ilvl w:val="1"/>
      </w:numPr>
      <w:tabs>
        <w:tab w:val="num" w:pos="360"/>
      </w:tabs>
    </w:pPr>
  </w:style>
  <w:style w:type="character" w:customStyle="1" w:styleId="07-BulletedTextChar">
    <w:name w:val="07-Bulleted Text Char"/>
    <w:basedOn w:val="DefaultParagraphFont"/>
    <w:link w:val="07-BulletedText"/>
    <w:rsid w:val="000B005A"/>
    <w:rPr>
      <w:rFonts w:ascii="Arial" w:eastAsia="ヒラギノ角ゴ Pro W3" w:hAnsi="Arial"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335966">
      <w:bodyDiv w:val="1"/>
      <w:marLeft w:val="0"/>
      <w:marRight w:val="0"/>
      <w:marTop w:val="0"/>
      <w:marBottom w:val="0"/>
      <w:divBdr>
        <w:top w:val="none" w:sz="0" w:space="0" w:color="auto"/>
        <w:left w:val="none" w:sz="0" w:space="0" w:color="auto"/>
        <w:bottom w:val="none" w:sz="0" w:space="0" w:color="auto"/>
        <w:right w:val="none" w:sz="0" w:space="0" w:color="auto"/>
      </w:divBdr>
    </w:div>
    <w:div w:id="1388383711">
      <w:bodyDiv w:val="1"/>
      <w:marLeft w:val="0"/>
      <w:marRight w:val="0"/>
      <w:marTop w:val="0"/>
      <w:marBottom w:val="0"/>
      <w:divBdr>
        <w:top w:val="none" w:sz="0" w:space="0" w:color="auto"/>
        <w:left w:val="none" w:sz="0" w:space="0" w:color="auto"/>
        <w:bottom w:val="none" w:sz="0" w:space="0" w:color="auto"/>
        <w:right w:val="none" w:sz="0" w:space="0" w:color="auto"/>
      </w:divBdr>
    </w:div>
    <w:div w:id="1490092846">
      <w:bodyDiv w:val="1"/>
      <w:marLeft w:val="0"/>
      <w:marRight w:val="0"/>
      <w:marTop w:val="0"/>
      <w:marBottom w:val="0"/>
      <w:divBdr>
        <w:top w:val="none" w:sz="0" w:space="0" w:color="auto"/>
        <w:left w:val="none" w:sz="0" w:space="0" w:color="auto"/>
        <w:bottom w:val="none" w:sz="0" w:space="0" w:color="auto"/>
        <w:right w:val="none" w:sz="0" w:space="0" w:color="auto"/>
      </w:divBdr>
    </w:div>
    <w:div w:id="18129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uke-energy.com" TargetMode="External"/><Relationship Id="rId18" Type="http://schemas.openxmlformats.org/officeDocument/2006/relationships/hyperlink" Target="https://www.instagram.com/duke_energ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uke-energy.com/foundation" TargetMode="External"/><Relationship Id="rId17" Type="http://schemas.openxmlformats.org/officeDocument/2006/relationships/hyperlink" Target="https://www.linkedin.com/company/duke-energy-corporation" TargetMode="External"/><Relationship Id="rId2" Type="http://schemas.openxmlformats.org/officeDocument/2006/relationships/numbering" Target="numbering.xml"/><Relationship Id="rId16" Type="http://schemas.openxmlformats.org/officeDocument/2006/relationships/hyperlink" Target="https://twitter.com/dukeener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ommunityfoundation.org" TargetMode="External"/><Relationship Id="rId5" Type="http://schemas.openxmlformats.org/officeDocument/2006/relationships/webSettings" Target="webSettings.xml"/><Relationship Id="rId15" Type="http://schemas.openxmlformats.org/officeDocument/2006/relationships/hyperlink" Target="http://illumination.duke-energy.com/" TargetMode="External"/><Relationship Id="rId10" Type="http://schemas.openxmlformats.org/officeDocument/2006/relationships/image" Target="media/image3.png"/><Relationship Id="rId19" Type="http://schemas.openxmlformats.org/officeDocument/2006/relationships/hyperlink" Target="https://www.facebook.com/dukeenerg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ews.duke-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048BC-0959-4CC9-9979-4F2B98F9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Capstrat</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Harder</dc:creator>
  <cp:lastModifiedBy>Paige R. Pait</cp:lastModifiedBy>
  <cp:revision>10</cp:revision>
  <dcterms:created xsi:type="dcterms:W3CDTF">2019-01-09T16:35:00Z</dcterms:created>
  <dcterms:modified xsi:type="dcterms:W3CDTF">2019-01-09T21:28:00Z</dcterms:modified>
</cp:coreProperties>
</file>